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Kathryn Larrimer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Artist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Pittsburgh, 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Exhibition Experience: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2018: Andy Warhol Museum, “ Youth Art Exhibition”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2019: Andy Warhol Museum, “Youth Art Exhibition”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2020: Kent State University Fall Show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2023: “Detour” University of Pittsburgh Senior Exhibition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2023: Creator Collective Spring Exhibition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2023: Pittsburgh Pride Exhibition, Wick Monet, Pittsburgh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2023: “The Art of the Living” University of Pittsburgh Fall Exhibition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2024: “Changes With Exposure” University of Pittsburgh Spring Exhibition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2024: “Bodies” Wick Monet, Pittsburgh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2024: “Art All Night 2024”, Pittsburgh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2024: “Dreams and Nightmares”, Redfishbowl Studios, Pittsburgh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2024: “Pure Enjoyment”, Creamery Arts Center, Springfield Missouri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2024: “Limitless”, Las Laguna Art Gallery, Laguna Beach, California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2024: “Good vs. Evil”, Sacramento Fine Arts Center, Sacramento, California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Murals: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St. Richard Parish, Gibsonia PA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Churn, Southside, Pittsburgh PA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Feroce, Aspinwall, Pittsburgh PA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b7b7b7"/>
              </w:rPr>
            </w:pPr>
            <w:r w:rsidDel="00000000" w:rsidR="00000000" w:rsidRPr="00000000">
              <w:rPr>
                <w:rtl w:val="0"/>
              </w:rPr>
              <w:t xml:space="preserve">   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2"/>
            <w:bookmarkEnd w:id="2"/>
            <w:r w:rsidDel="00000000" w:rsidR="00000000" w:rsidRPr="00000000">
              <w:rPr>
                <w:rtl w:val="0"/>
              </w:rPr>
              <w:t xml:space="preserve">University of Pittsburgh, Bachelor of Studio Arts,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2019-2024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Intaglio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Murals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